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1453D" w14:textId="34AFE464" w:rsidR="007E498A" w:rsidRPr="00296769" w:rsidRDefault="006C227C" w:rsidP="00C64CA0">
      <w:pPr>
        <w:spacing w:line="360" w:lineRule="auto"/>
        <w:rPr>
          <w:b/>
          <w:sz w:val="32"/>
          <w:lang w:val="cs-CZ"/>
        </w:rPr>
      </w:pPr>
      <w:bookmarkStart w:id="0" w:name="_GoBack"/>
      <w:bookmarkEnd w:id="0"/>
      <w:r w:rsidRPr="00296769">
        <w:rPr>
          <w:b/>
          <w:sz w:val="32"/>
          <w:lang w:val="cs-CZ"/>
        </w:rPr>
        <w:t>Úkoly na téma tukové tkáně a energetického metabolismu</w:t>
      </w:r>
    </w:p>
    <w:p w14:paraId="5AD9B2B5" w14:textId="66CBDDA1" w:rsidR="006C227C" w:rsidRPr="00296769" w:rsidRDefault="006C227C" w:rsidP="00C64CA0">
      <w:pPr>
        <w:spacing w:line="360" w:lineRule="auto"/>
        <w:rPr>
          <w:b/>
          <w:lang w:val="cs-CZ"/>
        </w:rPr>
      </w:pPr>
      <w:r w:rsidRPr="00296769">
        <w:rPr>
          <w:b/>
          <w:lang w:val="cs-CZ"/>
        </w:rPr>
        <w:t>Metodické pokyny a autorské řešení otázek</w:t>
      </w:r>
    </w:p>
    <w:p w14:paraId="6CA9B68C" w14:textId="77777777" w:rsidR="006C227C" w:rsidRPr="00296769" w:rsidRDefault="006C227C" w:rsidP="00C64CA0">
      <w:pPr>
        <w:spacing w:line="360" w:lineRule="auto"/>
        <w:rPr>
          <w:lang w:val="cs-CZ"/>
        </w:rPr>
      </w:pPr>
    </w:p>
    <w:p w14:paraId="0BBA1BBE" w14:textId="15EE84FC" w:rsidR="006121E1" w:rsidRPr="00296769" w:rsidRDefault="006121E1" w:rsidP="00C64CA0">
      <w:pPr>
        <w:spacing w:line="360" w:lineRule="auto"/>
        <w:rPr>
          <w:lang w:val="cs-CZ"/>
        </w:rPr>
      </w:pPr>
      <w:r w:rsidRPr="00296769">
        <w:rPr>
          <w:lang w:val="cs-CZ"/>
        </w:rPr>
        <w:t>Pracovní list nabízí kolekci praktických i teoretických úkolů a námětů k disku</w:t>
      </w:r>
      <w:r w:rsidR="00296769" w:rsidRPr="00296769">
        <w:rPr>
          <w:lang w:val="cs-CZ"/>
        </w:rPr>
        <w:t>z</w:t>
      </w:r>
      <w:r w:rsidRPr="00296769">
        <w:rPr>
          <w:lang w:val="cs-CZ"/>
        </w:rPr>
        <w:t>i na téma tukové tkáně, metabolismu a obezity.</w:t>
      </w:r>
    </w:p>
    <w:p w14:paraId="7DC6EEAF" w14:textId="1BC24E70" w:rsidR="006121E1" w:rsidRPr="00296769" w:rsidRDefault="00063BAD" w:rsidP="00C64CA0">
      <w:pPr>
        <w:spacing w:line="360" w:lineRule="auto"/>
        <w:rPr>
          <w:lang w:val="cs-CZ"/>
        </w:rPr>
      </w:pPr>
      <w:r w:rsidRPr="00296769">
        <w:rPr>
          <w:lang w:val="cs-CZ"/>
        </w:rPr>
        <w:t>Praktikum je vhodné doplnit mikroskopováním trvalého preparátu (bílé) tukové tkáně a výkladem o</w:t>
      </w:r>
      <w:r w:rsidR="00296769" w:rsidRPr="00296769">
        <w:rPr>
          <w:lang w:val="cs-CZ"/>
        </w:rPr>
        <w:t> </w:t>
      </w:r>
      <w:r w:rsidRPr="00296769">
        <w:rPr>
          <w:lang w:val="cs-CZ"/>
        </w:rPr>
        <w:t>morfologii adipocytu (velká tuková kapénka, jádro a další organely bezprostředně u membrány) a</w:t>
      </w:r>
      <w:r w:rsidR="00296769" w:rsidRPr="00296769">
        <w:rPr>
          <w:lang w:val="cs-CZ"/>
        </w:rPr>
        <w:t> </w:t>
      </w:r>
      <w:r w:rsidRPr="00296769">
        <w:rPr>
          <w:lang w:val="cs-CZ"/>
        </w:rPr>
        <w:t>o</w:t>
      </w:r>
      <w:r w:rsidR="00296769" w:rsidRPr="00296769">
        <w:rPr>
          <w:lang w:val="cs-CZ"/>
        </w:rPr>
        <w:t> </w:t>
      </w:r>
      <w:r w:rsidRPr="00296769">
        <w:rPr>
          <w:lang w:val="cs-CZ"/>
        </w:rPr>
        <w:t>rozdílech mezi bílou a hnědou tukovou buňkou (viz</w:t>
      </w:r>
      <w:r w:rsidR="00296769" w:rsidRPr="00296769">
        <w:rPr>
          <w:lang w:val="cs-CZ"/>
        </w:rPr>
        <w:t xml:space="preserve"> </w:t>
      </w:r>
      <w:r w:rsidR="00296769" w:rsidRPr="00296769">
        <w:rPr>
          <w:highlight w:val="yellow"/>
          <w:lang w:val="cs-CZ"/>
        </w:rPr>
        <w:t xml:space="preserve">Živa 2020, 4: </w:t>
      </w:r>
      <w:proofErr w:type="spellStart"/>
      <w:r w:rsidR="00296769" w:rsidRPr="00296769">
        <w:rPr>
          <w:highlight w:val="yellow"/>
          <w:lang w:val="cs-CZ"/>
        </w:rPr>
        <w:t>LXXXIX</w:t>
      </w:r>
      <w:proofErr w:type="spellEnd"/>
      <w:r w:rsidR="00296769" w:rsidRPr="00296769">
        <w:rPr>
          <w:highlight w:val="yellow"/>
          <w:lang w:val="cs-CZ"/>
        </w:rPr>
        <w:t>–XC</w:t>
      </w:r>
      <w:r w:rsidRPr="00296769">
        <w:rPr>
          <w:lang w:val="cs-CZ"/>
        </w:rPr>
        <w:t>)</w:t>
      </w:r>
    </w:p>
    <w:p w14:paraId="53BFA549" w14:textId="26C60023" w:rsidR="006121E1" w:rsidRPr="00296769" w:rsidRDefault="007E42E5" w:rsidP="006121E1">
      <w:pPr>
        <w:pStyle w:val="Odstavecseseznamem"/>
        <w:numPr>
          <w:ilvl w:val="0"/>
          <w:numId w:val="2"/>
        </w:numPr>
        <w:spacing w:line="360" w:lineRule="auto"/>
        <w:rPr>
          <w:b/>
          <w:lang w:val="cs-CZ"/>
        </w:rPr>
      </w:pPr>
      <w:r w:rsidRPr="00296769">
        <w:rPr>
          <w:b/>
          <w:lang w:val="cs-CZ"/>
        </w:rPr>
        <w:t>Teoreti</w:t>
      </w:r>
      <w:r w:rsidR="006121E1" w:rsidRPr="00296769">
        <w:rPr>
          <w:b/>
          <w:lang w:val="cs-CZ"/>
        </w:rPr>
        <w:t>cká úloha – glukózový toleranční test</w:t>
      </w:r>
    </w:p>
    <w:p w14:paraId="5F9E8824" w14:textId="11163060" w:rsidR="007E42E5" w:rsidRPr="00296769" w:rsidRDefault="007E42E5" w:rsidP="006121E1">
      <w:pPr>
        <w:spacing w:line="360" w:lineRule="auto"/>
        <w:rPr>
          <w:lang w:val="cs-CZ"/>
        </w:rPr>
      </w:pPr>
      <w:r w:rsidRPr="00296769">
        <w:rPr>
          <w:lang w:val="cs-CZ"/>
        </w:rPr>
        <w:t>Z hygienických důvodů nelze nechat studenty provádět úlohu prakticky s vlastním tělem. Možností je, aby učitel (netrpí-li poruchou inzulínové citlivosti) demonstroval průběh glukózového tolerančního testu (</w:t>
      </w:r>
      <w:proofErr w:type="spellStart"/>
      <w:r w:rsidRPr="00296769">
        <w:rPr>
          <w:lang w:val="cs-CZ"/>
        </w:rPr>
        <w:t>GTT</w:t>
      </w:r>
      <w:proofErr w:type="spellEnd"/>
      <w:r w:rsidRPr="00296769">
        <w:rPr>
          <w:lang w:val="cs-CZ"/>
        </w:rPr>
        <w:t>) sám na sobě, nebo pouze postup teoreticky vysvětlil a dal studentům např. možnost ochutnat koncentrovaný glukózový roztok.</w:t>
      </w:r>
    </w:p>
    <w:p w14:paraId="5615724C" w14:textId="77777777" w:rsidR="006D3C87" w:rsidRPr="00296769" w:rsidRDefault="006D3C87" w:rsidP="006121E1">
      <w:pPr>
        <w:spacing w:line="360" w:lineRule="auto"/>
        <w:rPr>
          <w:u w:val="single"/>
          <w:lang w:val="cs-CZ"/>
        </w:rPr>
      </w:pPr>
      <w:r w:rsidRPr="00296769">
        <w:rPr>
          <w:u w:val="single"/>
          <w:lang w:val="cs-CZ"/>
        </w:rPr>
        <w:t xml:space="preserve">Návod na praktickou demonstraci </w:t>
      </w:r>
      <w:proofErr w:type="spellStart"/>
      <w:r w:rsidRPr="00296769">
        <w:rPr>
          <w:u w:val="single"/>
          <w:lang w:val="cs-CZ"/>
        </w:rPr>
        <w:t>GTT</w:t>
      </w:r>
      <w:proofErr w:type="spellEnd"/>
      <w:r w:rsidRPr="00296769">
        <w:rPr>
          <w:u w:val="single"/>
          <w:lang w:val="cs-CZ"/>
        </w:rPr>
        <w:t>:</w:t>
      </w:r>
    </w:p>
    <w:p w14:paraId="0FCEB025" w14:textId="2B3CCBBB" w:rsidR="006D3C87" w:rsidRPr="00296769" w:rsidRDefault="006D3C87" w:rsidP="006121E1">
      <w:pPr>
        <w:spacing w:line="360" w:lineRule="auto"/>
        <w:rPr>
          <w:lang w:val="cs-CZ"/>
        </w:rPr>
      </w:pPr>
      <w:r w:rsidRPr="00296769">
        <w:rPr>
          <w:lang w:val="cs-CZ"/>
        </w:rPr>
        <w:t>Pomůcky</w:t>
      </w:r>
      <w:r w:rsidR="007E42E5" w:rsidRPr="00296769">
        <w:rPr>
          <w:rStyle w:val="Odkaznakoment"/>
          <w:lang w:val="cs-CZ"/>
        </w:rPr>
        <w:t xml:space="preserve">: </w:t>
      </w:r>
      <w:r w:rsidRPr="00296769">
        <w:rPr>
          <w:lang w:val="cs-CZ"/>
        </w:rPr>
        <w:t>glukometr a balení jednorázových indikačních proužků pro stanovení glukózy v krvi (zpravidla možné zapůjčit od diabetiků), jehla, de</w:t>
      </w:r>
      <w:r w:rsidR="00296769">
        <w:rPr>
          <w:lang w:val="cs-CZ"/>
        </w:rPr>
        <w:t>z</w:t>
      </w:r>
      <w:r w:rsidRPr="00296769">
        <w:rPr>
          <w:lang w:val="cs-CZ"/>
        </w:rPr>
        <w:t>infekce, roztok 75 g D-glukózy rozpuštěných ve 250</w:t>
      </w:r>
      <w:r w:rsidR="00296769">
        <w:rPr>
          <w:lang w:val="cs-CZ"/>
        </w:rPr>
        <w:t>–</w:t>
      </w:r>
      <w:r w:rsidRPr="00296769">
        <w:rPr>
          <w:lang w:val="cs-CZ"/>
        </w:rPr>
        <w:t>300 ml vody (jedna dávka)</w:t>
      </w:r>
    </w:p>
    <w:p w14:paraId="07482973" w14:textId="73F3AAB3" w:rsidR="006121E1" w:rsidRPr="00296769" w:rsidRDefault="006D3C87" w:rsidP="006121E1">
      <w:pPr>
        <w:spacing w:line="360" w:lineRule="auto"/>
        <w:rPr>
          <w:lang w:val="cs-CZ"/>
        </w:rPr>
      </w:pPr>
      <w:r w:rsidRPr="00296769">
        <w:rPr>
          <w:lang w:val="cs-CZ"/>
        </w:rPr>
        <w:t>Po celonočním hladovění se demonstrátor píchne sterilní jehlou do vyde</w:t>
      </w:r>
      <w:r w:rsidR="00296769">
        <w:rPr>
          <w:lang w:val="cs-CZ"/>
        </w:rPr>
        <w:t>z</w:t>
      </w:r>
      <w:r w:rsidRPr="00296769">
        <w:rPr>
          <w:lang w:val="cs-CZ"/>
        </w:rPr>
        <w:t>infikovaného bříška prstu a</w:t>
      </w:r>
      <w:r w:rsidR="00296769">
        <w:rPr>
          <w:lang w:val="cs-CZ"/>
        </w:rPr>
        <w:t> </w:t>
      </w:r>
      <w:r w:rsidRPr="00296769">
        <w:rPr>
          <w:lang w:val="cs-CZ"/>
        </w:rPr>
        <w:t>nabere kapku krve na indikační proužek glukometru. Hodnotu glykémie zaznamená. Poté vypije připravený roztok glukózy (během maximálně 10 minut). Následně monitoruje glykémii s časovým odstupem 15, 30, 60 a 120 min.</w:t>
      </w:r>
    </w:p>
    <w:p w14:paraId="7E65B05D" w14:textId="13AD354C" w:rsidR="006B58B2" w:rsidRPr="00296769" w:rsidRDefault="002F3264" w:rsidP="006121E1">
      <w:pPr>
        <w:spacing w:line="360" w:lineRule="auto"/>
        <w:rPr>
          <w:u w:val="single"/>
          <w:lang w:val="cs-CZ"/>
        </w:rPr>
      </w:pPr>
      <w:r w:rsidRPr="00296769">
        <w:rPr>
          <w:u w:val="single"/>
          <w:lang w:val="cs-CZ"/>
        </w:rPr>
        <w:t>Řešení otázek:</w:t>
      </w:r>
    </w:p>
    <w:p w14:paraId="0FABC705" w14:textId="2541DABC" w:rsidR="00F617CF" w:rsidRPr="00296769" w:rsidRDefault="00F617CF" w:rsidP="002F3264">
      <w:pPr>
        <w:pStyle w:val="Odstavecseseznamem"/>
        <w:numPr>
          <w:ilvl w:val="0"/>
          <w:numId w:val="3"/>
        </w:numPr>
        <w:spacing w:line="360" w:lineRule="auto"/>
        <w:rPr>
          <w:lang w:val="cs-CZ"/>
        </w:rPr>
      </w:pPr>
      <w:r w:rsidRPr="00296769">
        <w:rPr>
          <w:lang w:val="cs-CZ"/>
        </w:rPr>
        <w:t>Modrá křivka patří zdravému člověku, oranžová diabetikovi. U diabetika je snížená citlivost k inzul</w:t>
      </w:r>
      <w:r w:rsidR="00296769">
        <w:rPr>
          <w:lang w:val="cs-CZ"/>
        </w:rPr>
        <w:t>í</w:t>
      </w:r>
      <w:r w:rsidRPr="00296769">
        <w:rPr>
          <w:lang w:val="cs-CZ"/>
        </w:rPr>
        <w:t xml:space="preserve">nu, proto je už počáteční hladina glykémie zvýšená. Tkáně také méně reagují na výlev inzulínu v reakci na navýšení glykémie. Celá glykemická křivka je proto posunuta směrem </w:t>
      </w:r>
      <w:r w:rsidRPr="00296769">
        <w:rPr>
          <w:lang w:val="cs-CZ"/>
        </w:rPr>
        <w:lastRenderedPageBreak/>
        <w:t xml:space="preserve">vzhůru. Poznámka: U diabetických pacientů je často navíc výrazně zpomalen konečný pokles glykémie – křivka tak mívá </w:t>
      </w:r>
      <w:proofErr w:type="spellStart"/>
      <w:r w:rsidRPr="00296769">
        <w:rPr>
          <w:lang w:val="cs-CZ"/>
        </w:rPr>
        <w:t>oploštělý</w:t>
      </w:r>
      <w:proofErr w:type="spellEnd"/>
      <w:r w:rsidRPr="00296769">
        <w:rPr>
          <w:lang w:val="cs-CZ"/>
        </w:rPr>
        <w:t xml:space="preserve"> vrchol (to však není případ tohoto konkrétního grafu).</w:t>
      </w:r>
    </w:p>
    <w:p w14:paraId="3874B978" w14:textId="77777777" w:rsidR="00F617CF" w:rsidRPr="00296769" w:rsidRDefault="00F617CF" w:rsidP="002F3264">
      <w:pPr>
        <w:pStyle w:val="Odstavecseseznamem"/>
        <w:numPr>
          <w:ilvl w:val="0"/>
          <w:numId w:val="3"/>
        </w:numPr>
        <w:spacing w:line="360" w:lineRule="auto"/>
        <w:rPr>
          <w:lang w:val="cs-CZ"/>
        </w:rPr>
      </w:pPr>
      <w:r w:rsidRPr="00296769">
        <w:rPr>
          <w:lang w:val="cs-CZ"/>
        </w:rPr>
        <w:t>Počáteční n</w:t>
      </w:r>
      <w:r w:rsidR="006B58B2" w:rsidRPr="00296769">
        <w:rPr>
          <w:lang w:val="cs-CZ"/>
        </w:rPr>
        <w:t>árůst</w:t>
      </w:r>
      <w:r w:rsidRPr="00296769">
        <w:rPr>
          <w:lang w:val="cs-CZ"/>
        </w:rPr>
        <w:t xml:space="preserve"> glykémie</w:t>
      </w:r>
      <w:r w:rsidR="006B58B2" w:rsidRPr="00296769">
        <w:rPr>
          <w:lang w:val="cs-CZ"/>
        </w:rPr>
        <w:t xml:space="preserve"> je důsledkem vstřebávání přijaté glukó</w:t>
      </w:r>
      <w:r w:rsidRPr="00296769">
        <w:rPr>
          <w:lang w:val="cs-CZ"/>
        </w:rPr>
        <w:t xml:space="preserve">zy ze střeva do krve. </w:t>
      </w:r>
    </w:p>
    <w:p w14:paraId="1425BFB2" w14:textId="70FBF7FF" w:rsidR="006B58B2" w:rsidRPr="00296769" w:rsidRDefault="00F617CF" w:rsidP="002F3264">
      <w:pPr>
        <w:pStyle w:val="Odstavecseseznamem"/>
        <w:numPr>
          <w:ilvl w:val="0"/>
          <w:numId w:val="3"/>
        </w:numPr>
        <w:spacing w:line="360" w:lineRule="auto"/>
        <w:rPr>
          <w:lang w:val="cs-CZ"/>
        </w:rPr>
      </w:pPr>
      <w:r w:rsidRPr="00296769">
        <w:rPr>
          <w:lang w:val="cs-CZ"/>
        </w:rPr>
        <w:t>Nárůst glykémie</w:t>
      </w:r>
      <w:r w:rsidR="006B58B2" w:rsidRPr="00296769">
        <w:rPr>
          <w:lang w:val="cs-CZ"/>
        </w:rPr>
        <w:t xml:space="preserve"> vede k výlevu inzulínu. Inzulín působí mj. na játra, sval a tukovou tkáň, kde podporuje příjem glukózy z krve (sval, tuková tkáň) a ukládání glukózy v podobě glykogenu (játra, sval). Tyto procesy způsobují zpětný pokles glykémie k původním hodnotám.</w:t>
      </w:r>
    </w:p>
    <w:p w14:paraId="1B93EFED" w14:textId="140D8DB1" w:rsidR="00F617CF" w:rsidRPr="00296769" w:rsidRDefault="00F617CF" w:rsidP="002F3264">
      <w:pPr>
        <w:pStyle w:val="Odstavecseseznamem"/>
        <w:numPr>
          <w:ilvl w:val="0"/>
          <w:numId w:val="3"/>
        </w:numPr>
        <w:spacing w:line="360" w:lineRule="auto"/>
        <w:rPr>
          <w:lang w:val="cs-CZ"/>
        </w:rPr>
      </w:pPr>
      <w:r w:rsidRPr="00296769">
        <w:rPr>
          <w:lang w:val="cs-CZ"/>
        </w:rPr>
        <w:t xml:space="preserve">Konkrétní hodnoty obsahu cukru je vhodné vyčíst z etiket. V původní receptuře se však obsah cukru v </w:t>
      </w:r>
      <w:proofErr w:type="spellStart"/>
      <w:r w:rsidRPr="00296769">
        <w:rPr>
          <w:lang w:val="cs-CZ"/>
        </w:rPr>
        <w:t>Coca</w:t>
      </w:r>
      <w:proofErr w:type="spellEnd"/>
      <w:r w:rsidRPr="00296769">
        <w:rPr>
          <w:lang w:val="cs-CZ"/>
        </w:rPr>
        <w:t xml:space="preserve"> </w:t>
      </w:r>
      <w:proofErr w:type="spellStart"/>
      <w:r w:rsidRPr="00296769">
        <w:rPr>
          <w:lang w:val="cs-CZ"/>
        </w:rPr>
        <w:t>cole</w:t>
      </w:r>
      <w:proofErr w:type="spellEnd"/>
      <w:r w:rsidRPr="00296769">
        <w:rPr>
          <w:lang w:val="cs-CZ"/>
        </w:rPr>
        <w:t xml:space="preserve"> a Pepsi pohybuje nad 11 g / 100 ml, v Kofole je to 8 g / 100 ml</w:t>
      </w:r>
      <w:r w:rsidR="00447EC1" w:rsidRPr="00296769">
        <w:rPr>
          <w:lang w:val="cs-CZ"/>
        </w:rPr>
        <w:t xml:space="preserve">. Množství cukru přijatého při </w:t>
      </w:r>
      <w:proofErr w:type="spellStart"/>
      <w:r w:rsidR="00447EC1" w:rsidRPr="00296769">
        <w:rPr>
          <w:lang w:val="cs-CZ"/>
        </w:rPr>
        <w:t>GTT</w:t>
      </w:r>
      <w:proofErr w:type="spellEnd"/>
      <w:r w:rsidR="00447EC1" w:rsidRPr="00296769">
        <w:rPr>
          <w:lang w:val="cs-CZ"/>
        </w:rPr>
        <w:t xml:space="preserve"> (75 g v tomto případě glukózy) odpovídá cca 0,68 l </w:t>
      </w:r>
      <w:proofErr w:type="spellStart"/>
      <w:r w:rsidR="00447EC1" w:rsidRPr="00296769">
        <w:rPr>
          <w:lang w:val="cs-CZ"/>
        </w:rPr>
        <w:t>Coca</w:t>
      </w:r>
      <w:proofErr w:type="spellEnd"/>
      <w:r w:rsidR="00447EC1" w:rsidRPr="00296769">
        <w:rPr>
          <w:lang w:val="cs-CZ"/>
        </w:rPr>
        <w:t xml:space="preserve"> </w:t>
      </w:r>
      <w:proofErr w:type="spellStart"/>
      <w:r w:rsidR="00447EC1" w:rsidRPr="00296769">
        <w:rPr>
          <w:lang w:val="cs-CZ"/>
        </w:rPr>
        <w:t>coly</w:t>
      </w:r>
      <w:proofErr w:type="spellEnd"/>
      <w:r w:rsidR="00447EC1" w:rsidRPr="00296769">
        <w:rPr>
          <w:lang w:val="cs-CZ"/>
        </w:rPr>
        <w:t xml:space="preserve"> (75/11) nebo 0,93</w:t>
      </w:r>
      <w:r w:rsidR="00296769">
        <w:rPr>
          <w:lang w:val="cs-CZ"/>
        </w:rPr>
        <w:t> </w:t>
      </w:r>
      <w:r w:rsidR="00447EC1" w:rsidRPr="00296769">
        <w:rPr>
          <w:lang w:val="cs-CZ"/>
        </w:rPr>
        <w:t>l Kofoly.</w:t>
      </w:r>
    </w:p>
    <w:p w14:paraId="52E6503B" w14:textId="16EFE553" w:rsidR="00447EC1" w:rsidRPr="00296769" w:rsidRDefault="00447EC1" w:rsidP="002F3264">
      <w:pPr>
        <w:pStyle w:val="Odstavecseseznamem"/>
        <w:numPr>
          <w:ilvl w:val="0"/>
          <w:numId w:val="3"/>
        </w:numPr>
        <w:spacing w:line="360" w:lineRule="auto"/>
        <w:rPr>
          <w:lang w:val="cs-CZ"/>
        </w:rPr>
      </w:pPr>
      <w:r w:rsidRPr="00296769">
        <w:rPr>
          <w:lang w:val="cs-CZ"/>
        </w:rPr>
        <w:t>Pevná potrava je nejprve nějakou dobu zpracovávána v žaludku a teprve postupně se dostává do střeva. Její vstřebávání do krve je tak rozloženo do delšího časového úseku. Je také dostatek času na navození pocitu sytosti a přerušení příjmu potravy. Nápoje se dostávají do střeva výrazně rychleji a nedochází k navození pocitu sytosti naplněním žaludku. Příjem energie v nápojích je tak snazší a rychlejší než v pevné potravě.</w:t>
      </w:r>
    </w:p>
    <w:p w14:paraId="057D84E3" w14:textId="77777777" w:rsidR="007F56C8" w:rsidRPr="00296769" w:rsidRDefault="007F56C8" w:rsidP="00E46801">
      <w:pPr>
        <w:pStyle w:val="Odstavecseseznamem"/>
        <w:spacing w:line="360" w:lineRule="auto"/>
        <w:rPr>
          <w:lang w:val="cs-CZ"/>
        </w:rPr>
      </w:pPr>
    </w:p>
    <w:p w14:paraId="3B5FB622" w14:textId="7072435D" w:rsidR="001C4C29" w:rsidRPr="00296769" w:rsidRDefault="00447EC1" w:rsidP="001C4C29">
      <w:pPr>
        <w:spacing w:line="360" w:lineRule="auto"/>
        <w:rPr>
          <w:lang w:val="cs-CZ"/>
        </w:rPr>
      </w:pPr>
      <w:r w:rsidRPr="00296769">
        <w:rPr>
          <w:u w:val="single"/>
          <w:lang w:val="cs-CZ"/>
        </w:rPr>
        <w:t>Poznámka:</w:t>
      </w:r>
      <w:r w:rsidRPr="00296769">
        <w:rPr>
          <w:lang w:val="cs-CZ"/>
        </w:rPr>
        <w:t xml:space="preserve"> </w:t>
      </w:r>
      <w:r w:rsidR="001C4C29" w:rsidRPr="00296769">
        <w:rPr>
          <w:lang w:val="cs-CZ"/>
        </w:rPr>
        <w:t>Experiment a úkoly je dále vhodné doplnit výkladem a disku</w:t>
      </w:r>
      <w:r w:rsidR="00296769">
        <w:rPr>
          <w:lang w:val="cs-CZ"/>
        </w:rPr>
        <w:t>z</w:t>
      </w:r>
      <w:r w:rsidR="001C4C29" w:rsidRPr="00296769">
        <w:rPr>
          <w:lang w:val="cs-CZ"/>
        </w:rPr>
        <w:t>í o zužitkování energie v lidském těle (viz také</w:t>
      </w:r>
      <w:r w:rsidR="00296769">
        <w:rPr>
          <w:lang w:val="cs-CZ"/>
        </w:rPr>
        <w:t xml:space="preserve"> </w:t>
      </w:r>
      <w:r w:rsidR="00296769" w:rsidRPr="00296769">
        <w:rPr>
          <w:highlight w:val="yellow"/>
          <w:lang w:val="cs-CZ"/>
        </w:rPr>
        <w:t>Živa 2020, 4: 168</w:t>
      </w:r>
      <w:r w:rsidR="00296769">
        <w:rPr>
          <w:highlight w:val="yellow"/>
          <w:lang w:val="cs-CZ"/>
        </w:rPr>
        <w:t>–</w:t>
      </w:r>
      <w:r w:rsidR="00296769" w:rsidRPr="00296769">
        <w:rPr>
          <w:highlight w:val="yellow"/>
          <w:lang w:val="cs-CZ"/>
        </w:rPr>
        <w:t>169</w:t>
      </w:r>
      <w:r w:rsidR="001C4C29" w:rsidRPr="00296769">
        <w:rPr>
          <w:lang w:val="cs-CZ"/>
        </w:rPr>
        <w:t>: potrava, ukládání zásobních polysacharidů – glykogenu v játrech a</w:t>
      </w:r>
      <w:r w:rsidR="00296769">
        <w:rPr>
          <w:lang w:val="cs-CZ"/>
        </w:rPr>
        <w:t> </w:t>
      </w:r>
      <w:r w:rsidR="001C4C29" w:rsidRPr="00296769">
        <w:rPr>
          <w:lang w:val="cs-CZ"/>
        </w:rPr>
        <w:t xml:space="preserve">svalu a zásobních lipidů v tukové tkáni, role inzulínu po jídle, mobilizace zásob v okamžicích lačnění – role </w:t>
      </w:r>
      <w:proofErr w:type="spellStart"/>
      <w:r w:rsidR="001C4C29" w:rsidRPr="00296769">
        <w:rPr>
          <w:lang w:val="cs-CZ"/>
        </w:rPr>
        <w:t>glukagonu</w:t>
      </w:r>
      <w:proofErr w:type="spellEnd"/>
      <w:r w:rsidR="001C4C29" w:rsidRPr="00296769">
        <w:rPr>
          <w:lang w:val="cs-CZ"/>
        </w:rPr>
        <w:t xml:space="preserve"> atp.).</w:t>
      </w:r>
    </w:p>
    <w:p w14:paraId="61DAFCA2" w14:textId="77777777" w:rsidR="001C4C29" w:rsidRPr="00296769" w:rsidRDefault="001C4C29" w:rsidP="00E46801">
      <w:pPr>
        <w:pStyle w:val="Odstavecseseznamem"/>
        <w:spacing w:line="360" w:lineRule="auto"/>
        <w:rPr>
          <w:lang w:val="cs-CZ"/>
        </w:rPr>
      </w:pPr>
    </w:p>
    <w:p w14:paraId="291ABB3A" w14:textId="0F3E344D" w:rsidR="006121E1" w:rsidRPr="00296769" w:rsidRDefault="00447EC1" w:rsidP="006121E1">
      <w:pPr>
        <w:pStyle w:val="Odstavecseseznamem"/>
        <w:numPr>
          <w:ilvl w:val="0"/>
          <w:numId w:val="2"/>
        </w:numPr>
        <w:spacing w:line="360" w:lineRule="auto"/>
        <w:rPr>
          <w:b/>
          <w:lang w:val="cs-CZ"/>
        </w:rPr>
      </w:pPr>
      <w:r w:rsidRPr="00296769">
        <w:rPr>
          <w:b/>
          <w:lang w:val="cs-CZ"/>
        </w:rPr>
        <w:t>Termogeneze a h</w:t>
      </w:r>
      <w:r w:rsidR="007F56C8" w:rsidRPr="00296769">
        <w:rPr>
          <w:b/>
          <w:lang w:val="cs-CZ"/>
        </w:rPr>
        <w:t>nědá tuková tkáň</w:t>
      </w:r>
    </w:p>
    <w:p w14:paraId="018D7AE3" w14:textId="77777777" w:rsidR="002E540F" w:rsidRPr="00296769" w:rsidRDefault="007F56C8" w:rsidP="00C64CA0">
      <w:pPr>
        <w:spacing w:line="360" w:lineRule="auto"/>
        <w:rPr>
          <w:lang w:val="cs-CZ"/>
        </w:rPr>
      </w:pPr>
      <w:r w:rsidRPr="00296769">
        <w:rPr>
          <w:lang w:val="cs-CZ"/>
        </w:rPr>
        <w:t>Hnědá tuková tkáň je specializovaný orgán uzpůsobený k efektivní výrobě tepla za udržením stálé tělesné teploty.</w:t>
      </w:r>
    </w:p>
    <w:p w14:paraId="1C54AA66" w14:textId="34981EEA" w:rsidR="007F56C8" w:rsidRPr="00296769" w:rsidRDefault="007F56C8" w:rsidP="00447EC1">
      <w:pPr>
        <w:pStyle w:val="Odstavecseseznamem"/>
        <w:numPr>
          <w:ilvl w:val="0"/>
          <w:numId w:val="4"/>
        </w:numPr>
        <w:spacing w:line="360" w:lineRule="auto"/>
        <w:rPr>
          <w:lang w:val="cs-CZ"/>
        </w:rPr>
      </w:pPr>
      <w:r w:rsidRPr="00296769">
        <w:rPr>
          <w:lang w:val="cs-CZ"/>
        </w:rPr>
        <w:t>Zlepšení tepelné izolace: potřeba se přiobléct, ale i stažení cév v kůži za účelem přesměrování toku krve do hlubších o</w:t>
      </w:r>
      <w:r w:rsidR="00447EC1" w:rsidRPr="00296769">
        <w:rPr>
          <w:lang w:val="cs-CZ"/>
        </w:rPr>
        <w:t>blastí těla (tím se omezí odnos</w:t>
      </w:r>
      <w:r w:rsidRPr="00296769">
        <w:rPr>
          <w:lang w:val="cs-CZ"/>
        </w:rPr>
        <w:t xml:space="preserve"> tepla krví z centra těla na per</w:t>
      </w:r>
      <w:r w:rsidR="00544C04" w:rsidRPr="00296769">
        <w:rPr>
          <w:lang w:val="cs-CZ"/>
        </w:rPr>
        <w:t xml:space="preserve">iférii), naježení srsti (u člověka rudimentárně „husí kůže); Zvýšení produkce tepla: zvýšená fyzická aktivita </w:t>
      </w:r>
      <w:r w:rsidR="00401EF5" w:rsidRPr="00296769">
        <w:rPr>
          <w:lang w:val="cs-CZ"/>
        </w:rPr>
        <w:t>(poskakování apod.), svalový třes, stimulace aktivity hnědé tukové tkáně.</w:t>
      </w:r>
    </w:p>
    <w:p w14:paraId="3265C0DE" w14:textId="39A60211" w:rsidR="00401EF5" w:rsidRPr="00296769" w:rsidRDefault="00401EF5" w:rsidP="00447EC1">
      <w:pPr>
        <w:pStyle w:val="Odstavecseseznamem"/>
        <w:numPr>
          <w:ilvl w:val="0"/>
          <w:numId w:val="4"/>
        </w:numPr>
        <w:spacing w:line="360" w:lineRule="auto"/>
        <w:rPr>
          <w:lang w:val="cs-CZ"/>
        </w:rPr>
      </w:pPr>
      <w:r w:rsidRPr="00296769">
        <w:rPr>
          <w:lang w:val="cs-CZ"/>
        </w:rPr>
        <w:lastRenderedPageBreak/>
        <w:t xml:space="preserve">Život je vždy spojen s určitou bazální úrovní metabolismu, při které se uvolňuje „odpadové“ teplo. K udržení normální tělesné teploty stačí lehce oblečenému člověku umístěnému do 20 </w:t>
      </w:r>
      <w:r w:rsidRPr="00296769">
        <w:rPr>
          <w:rFonts w:cstheme="minorHAnsi"/>
          <w:lang w:val="cs-CZ"/>
        </w:rPr>
        <w:t>°</w:t>
      </w:r>
      <w:r w:rsidRPr="00296769">
        <w:rPr>
          <w:lang w:val="cs-CZ"/>
        </w:rPr>
        <w:t>C právě jen tento bazální metabolismus.</w:t>
      </w:r>
    </w:p>
    <w:p w14:paraId="420F8911" w14:textId="1A482429" w:rsidR="00401EF5" w:rsidRPr="00296769" w:rsidRDefault="00401EF5" w:rsidP="0031664A">
      <w:pPr>
        <w:pStyle w:val="Odstavecseseznamem"/>
        <w:numPr>
          <w:ilvl w:val="0"/>
          <w:numId w:val="4"/>
        </w:numPr>
        <w:spacing w:line="360" w:lineRule="auto"/>
        <w:rPr>
          <w:lang w:val="cs-CZ"/>
        </w:rPr>
      </w:pPr>
      <w:r w:rsidRPr="00296769">
        <w:rPr>
          <w:lang w:val="cs-CZ"/>
        </w:rPr>
        <w:t>A: V = 1</w:t>
      </w:r>
      <w:r w:rsidR="00296769">
        <w:rPr>
          <w:lang w:val="cs-CZ"/>
        </w:rPr>
        <w:t xml:space="preserve"> </w:t>
      </w:r>
      <w:r w:rsidR="00296769">
        <w:rPr>
          <w:rFonts w:cstheme="minorHAnsi"/>
          <w:lang w:val="cs-CZ"/>
        </w:rPr>
        <w:t>×</w:t>
      </w:r>
      <w:r w:rsidR="00296769">
        <w:rPr>
          <w:lang w:val="cs-CZ"/>
        </w:rPr>
        <w:t xml:space="preserve"> </w:t>
      </w:r>
      <w:r w:rsidRPr="00296769">
        <w:rPr>
          <w:lang w:val="cs-CZ"/>
        </w:rPr>
        <w:t>1</w:t>
      </w:r>
      <w:r w:rsidR="00296769">
        <w:rPr>
          <w:lang w:val="cs-CZ"/>
        </w:rPr>
        <w:t xml:space="preserve"> × </w:t>
      </w:r>
      <w:r w:rsidRPr="00296769">
        <w:rPr>
          <w:lang w:val="cs-CZ"/>
        </w:rPr>
        <w:t>1 dm = 1 dm</w:t>
      </w:r>
      <w:r w:rsidRPr="00296769">
        <w:rPr>
          <w:vertAlign w:val="superscript"/>
          <w:lang w:val="cs-CZ"/>
        </w:rPr>
        <w:t>3</w:t>
      </w:r>
      <w:r w:rsidRPr="00296769">
        <w:rPr>
          <w:lang w:val="cs-CZ"/>
        </w:rPr>
        <w:t>, P = 6</w:t>
      </w:r>
      <w:r w:rsidR="00296769">
        <w:rPr>
          <w:lang w:val="cs-CZ"/>
        </w:rPr>
        <w:t xml:space="preserve"> × </w:t>
      </w:r>
      <w:r w:rsidRPr="00296769">
        <w:rPr>
          <w:lang w:val="cs-CZ"/>
        </w:rPr>
        <w:t>1</w:t>
      </w:r>
      <w:r w:rsidR="00296769">
        <w:rPr>
          <w:lang w:val="cs-CZ"/>
        </w:rPr>
        <w:t xml:space="preserve"> × </w:t>
      </w:r>
      <w:r w:rsidRPr="00296769">
        <w:rPr>
          <w:lang w:val="cs-CZ"/>
        </w:rPr>
        <w:t>1 dm = 6 dm</w:t>
      </w:r>
      <w:r w:rsidRPr="00296769">
        <w:rPr>
          <w:vertAlign w:val="superscript"/>
          <w:lang w:val="cs-CZ"/>
        </w:rPr>
        <w:t>2</w:t>
      </w:r>
      <w:r w:rsidRPr="00296769">
        <w:rPr>
          <w:lang w:val="cs-CZ"/>
        </w:rPr>
        <w:t>, V/P = 1/6</w:t>
      </w:r>
      <w:r w:rsidR="008F4F85" w:rsidRPr="00296769">
        <w:rPr>
          <w:lang w:val="cs-CZ"/>
        </w:rPr>
        <w:t xml:space="preserve"> = 0,1666</w:t>
      </w:r>
    </w:p>
    <w:p w14:paraId="690A349A" w14:textId="3D299727" w:rsidR="00401EF5" w:rsidRPr="00296769" w:rsidRDefault="00401EF5" w:rsidP="00401EF5">
      <w:pPr>
        <w:pStyle w:val="Odstavecseseznamem"/>
        <w:spacing w:line="360" w:lineRule="auto"/>
        <w:rPr>
          <w:lang w:val="cs-CZ"/>
        </w:rPr>
      </w:pPr>
      <w:r w:rsidRPr="00296769">
        <w:rPr>
          <w:lang w:val="cs-CZ"/>
        </w:rPr>
        <w:t>B: V = 10</w:t>
      </w:r>
      <w:r w:rsidR="00296769">
        <w:rPr>
          <w:lang w:val="cs-CZ"/>
        </w:rPr>
        <w:t xml:space="preserve"> × </w:t>
      </w:r>
      <w:r w:rsidRPr="00296769">
        <w:rPr>
          <w:lang w:val="cs-CZ"/>
        </w:rPr>
        <w:t>10</w:t>
      </w:r>
      <w:r w:rsidR="00296769">
        <w:rPr>
          <w:lang w:val="cs-CZ"/>
        </w:rPr>
        <w:t xml:space="preserve"> × </w:t>
      </w:r>
      <w:r w:rsidRPr="00296769">
        <w:rPr>
          <w:lang w:val="cs-CZ"/>
        </w:rPr>
        <w:t>10 dm = 1000 dm</w:t>
      </w:r>
      <w:r w:rsidRPr="00296769">
        <w:rPr>
          <w:vertAlign w:val="superscript"/>
          <w:lang w:val="cs-CZ"/>
        </w:rPr>
        <w:t>3</w:t>
      </w:r>
      <w:r w:rsidRPr="00296769">
        <w:rPr>
          <w:lang w:val="cs-CZ"/>
        </w:rPr>
        <w:t>, P = 6</w:t>
      </w:r>
      <w:r w:rsidR="00296769">
        <w:rPr>
          <w:lang w:val="cs-CZ"/>
        </w:rPr>
        <w:t xml:space="preserve"> × </w:t>
      </w:r>
      <w:r w:rsidRPr="00296769">
        <w:rPr>
          <w:lang w:val="cs-CZ"/>
        </w:rPr>
        <w:t>10</w:t>
      </w:r>
      <w:r w:rsidR="00296769">
        <w:rPr>
          <w:lang w:val="cs-CZ"/>
        </w:rPr>
        <w:t xml:space="preserve"> × </w:t>
      </w:r>
      <w:r w:rsidRPr="00296769">
        <w:rPr>
          <w:lang w:val="cs-CZ"/>
        </w:rPr>
        <w:t>10 dm = 600 dm</w:t>
      </w:r>
      <w:r w:rsidRPr="00296769">
        <w:rPr>
          <w:vertAlign w:val="superscript"/>
          <w:lang w:val="cs-CZ"/>
        </w:rPr>
        <w:t>2</w:t>
      </w:r>
      <w:r w:rsidRPr="00296769">
        <w:rPr>
          <w:lang w:val="cs-CZ"/>
        </w:rPr>
        <w:t xml:space="preserve">, V/P = </w:t>
      </w:r>
      <w:r w:rsidR="008F4F85" w:rsidRPr="00296769">
        <w:rPr>
          <w:lang w:val="cs-CZ"/>
        </w:rPr>
        <w:t>1000/600 = 10/6 = 1</w:t>
      </w:r>
      <w:r w:rsidR="0031664A" w:rsidRPr="00296769">
        <w:rPr>
          <w:lang w:val="cs-CZ"/>
        </w:rPr>
        <w:t>,</w:t>
      </w:r>
      <w:r w:rsidR="008F4F85" w:rsidRPr="00296769">
        <w:rPr>
          <w:lang w:val="cs-CZ"/>
        </w:rPr>
        <w:t>666</w:t>
      </w:r>
    </w:p>
    <w:p w14:paraId="4790F992" w14:textId="7A58B2E8" w:rsidR="008F4F85" w:rsidRPr="00296769" w:rsidRDefault="0031664A" w:rsidP="00401EF5">
      <w:pPr>
        <w:pStyle w:val="Odstavecseseznamem"/>
        <w:spacing w:line="360" w:lineRule="auto"/>
        <w:rPr>
          <w:lang w:val="cs-CZ"/>
        </w:rPr>
      </w:pPr>
      <w:r w:rsidRPr="00296769">
        <w:rPr>
          <w:lang w:val="cs-CZ"/>
        </w:rPr>
        <w:t>S</w:t>
      </w:r>
      <w:r w:rsidR="00296769">
        <w:rPr>
          <w:lang w:val="cs-CZ"/>
        </w:rPr>
        <w:t xml:space="preserve">e </w:t>
      </w:r>
      <w:r w:rsidRPr="00296769">
        <w:rPr>
          <w:lang w:val="cs-CZ"/>
        </w:rPr>
        <w:t>vzrůstajícími rozměry těla roste objem tělesné hmoty (produkující teplo) přibližně s třetí mocninou, zatímco povrch těla (kterým se teplo ztrácí) pouze s druhou mocninou délky.</w:t>
      </w:r>
      <w:r w:rsidR="008F4F85" w:rsidRPr="00296769">
        <w:rPr>
          <w:lang w:val="cs-CZ"/>
        </w:rPr>
        <w:t xml:space="preserve"> </w:t>
      </w:r>
      <w:r w:rsidRPr="00296769">
        <w:rPr>
          <w:lang w:val="cs-CZ"/>
        </w:rPr>
        <w:t>Proto zvířata malých rozměrů ztrác</w:t>
      </w:r>
      <w:r w:rsidR="00296769">
        <w:rPr>
          <w:lang w:val="cs-CZ"/>
        </w:rPr>
        <w:t>ej</w:t>
      </w:r>
      <w:r w:rsidRPr="00296769">
        <w:rPr>
          <w:lang w:val="cs-CZ"/>
        </w:rPr>
        <w:t>í větší podíl vyrobeného tepla. Mus</w:t>
      </w:r>
      <w:r w:rsidR="00296769">
        <w:rPr>
          <w:lang w:val="cs-CZ"/>
        </w:rPr>
        <w:t>ej</w:t>
      </w:r>
      <w:r w:rsidRPr="00296769">
        <w:rPr>
          <w:lang w:val="cs-CZ"/>
        </w:rPr>
        <w:t>í proto tepla vyrábět více (na</w:t>
      </w:r>
      <w:r w:rsidR="00296769">
        <w:rPr>
          <w:lang w:val="cs-CZ"/>
        </w:rPr>
        <w:t> </w:t>
      </w:r>
      <w:r w:rsidRPr="00296769">
        <w:rPr>
          <w:lang w:val="cs-CZ"/>
        </w:rPr>
        <w:t xml:space="preserve">jednotku </w:t>
      </w:r>
      <w:r w:rsidR="008F4F85" w:rsidRPr="00296769">
        <w:rPr>
          <w:lang w:val="cs-CZ"/>
        </w:rPr>
        <w:t>objemu nebo hmotnosti)</w:t>
      </w:r>
      <w:r w:rsidRPr="00296769">
        <w:rPr>
          <w:lang w:val="cs-CZ"/>
        </w:rPr>
        <w:t xml:space="preserve"> a mají vyšší </w:t>
      </w:r>
      <w:proofErr w:type="spellStart"/>
      <w:r w:rsidRPr="00296769">
        <w:rPr>
          <w:lang w:val="cs-CZ"/>
        </w:rPr>
        <w:t>termoneutrální</w:t>
      </w:r>
      <w:proofErr w:type="spellEnd"/>
      <w:r w:rsidRPr="00296769">
        <w:rPr>
          <w:lang w:val="cs-CZ"/>
        </w:rPr>
        <w:t xml:space="preserve"> teplotu než větší zvířata.</w:t>
      </w:r>
    </w:p>
    <w:p w14:paraId="1F6F4CA2" w14:textId="405BAD37" w:rsidR="008F4F85" w:rsidRPr="00296769" w:rsidRDefault="008F4F85" w:rsidP="0031664A">
      <w:pPr>
        <w:pStyle w:val="Odstavecseseznamem"/>
        <w:numPr>
          <w:ilvl w:val="0"/>
          <w:numId w:val="4"/>
        </w:numPr>
        <w:spacing w:line="360" w:lineRule="auto"/>
        <w:rPr>
          <w:lang w:val="cs-CZ"/>
        </w:rPr>
      </w:pPr>
      <w:r w:rsidRPr="00296769">
        <w:rPr>
          <w:lang w:val="cs-CZ"/>
        </w:rPr>
        <w:t xml:space="preserve">Bohaté prokrvení (podobně jako u jater) – tedy velké množství červených krvinek obsahujících hemoglobin s navázaným železem, velké množství </w:t>
      </w:r>
      <w:proofErr w:type="gramStart"/>
      <w:r w:rsidRPr="00296769">
        <w:rPr>
          <w:lang w:val="cs-CZ"/>
        </w:rPr>
        <w:t>mitochondrií  obsahujících</w:t>
      </w:r>
      <w:proofErr w:type="gramEnd"/>
      <w:r w:rsidRPr="00296769">
        <w:rPr>
          <w:lang w:val="cs-CZ"/>
        </w:rPr>
        <w:t xml:space="preserve"> proteiny s navázaným železem (zejména cytochromy).</w:t>
      </w:r>
    </w:p>
    <w:p w14:paraId="0BDBB833" w14:textId="77777777" w:rsidR="008F4F85" w:rsidRPr="00296769" w:rsidRDefault="008F4F85" w:rsidP="008F4F85">
      <w:pPr>
        <w:pStyle w:val="Odstavecseseznamem"/>
        <w:spacing w:line="360" w:lineRule="auto"/>
        <w:rPr>
          <w:lang w:val="cs-CZ"/>
        </w:rPr>
      </w:pPr>
    </w:p>
    <w:p w14:paraId="07362BBC" w14:textId="19DB92D6" w:rsidR="001C4C29" w:rsidRPr="00296769" w:rsidRDefault="0031664A" w:rsidP="001C4C29">
      <w:pPr>
        <w:spacing w:line="360" w:lineRule="auto"/>
        <w:rPr>
          <w:lang w:val="cs-CZ"/>
        </w:rPr>
      </w:pPr>
      <w:r w:rsidRPr="00296769">
        <w:rPr>
          <w:u w:val="single"/>
          <w:lang w:val="cs-CZ"/>
        </w:rPr>
        <w:t>Poznámka:</w:t>
      </w:r>
      <w:r w:rsidRPr="00296769">
        <w:rPr>
          <w:lang w:val="cs-CZ"/>
        </w:rPr>
        <w:t xml:space="preserve"> </w:t>
      </w:r>
      <w:r w:rsidR="001C4C29" w:rsidRPr="00296769">
        <w:rPr>
          <w:lang w:val="cs-CZ"/>
        </w:rPr>
        <w:t>Výklad o hnědé tukové tkáni pro maturanty se znalostí biochemie a mechanismu dýchacího řetězce je možné doplnit o výklad o UCP1.</w:t>
      </w:r>
    </w:p>
    <w:p w14:paraId="44388F68" w14:textId="77777777" w:rsidR="001C4C29" w:rsidRPr="00296769" w:rsidRDefault="001C4C29" w:rsidP="008F4F85">
      <w:pPr>
        <w:pStyle w:val="Odstavecseseznamem"/>
        <w:spacing w:line="360" w:lineRule="auto"/>
        <w:rPr>
          <w:lang w:val="cs-CZ"/>
        </w:rPr>
      </w:pPr>
    </w:p>
    <w:p w14:paraId="48E266E4" w14:textId="77777777" w:rsidR="001C4C29" w:rsidRPr="00296769" w:rsidRDefault="001C4C29" w:rsidP="008F4F85">
      <w:pPr>
        <w:pStyle w:val="Odstavecseseznamem"/>
        <w:spacing w:line="360" w:lineRule="auto"/>
        <w:rPr>
          <w:lang w:val="cs-CZ"/>
        </w:rPr>
      </w:pPr>
    </w:p>
    <w:p w14:paraId="30921810" w14:textId="77777777" w:rsidR="002E540F" w:rsidRPr="00296769" w:rsidRDefault="008F4F85" w:rsidP="008F4F85">
      <w:pPr>
        <w:pStyle w:val="Odstavecseseznamem"/>
        <w:numPr>
          <w:ilvl w:val="0"/>
          <w:numId w:val="2"/>
        </w:numPr>
        <w:spacing w:line="360" w:lineRule="auto"/>
        <w:rPr>
          <w:b/>
          <w:lang w:val="cs-CZ"/>
        </w:rPr>
      </w:pPr>
      <w:r w:rsidRPr="00296769">
        <w:rPr>
          <w:b/>
          <w:lang w:val="cs-CZ"/>
        </w:rPr>
        <w:t>Lipidy jako bohatý zdroj energie</w:t>
      </w:r>
    </w:p>
    <w:p w14:paraId="3385079F" w14:textId="48696EC3" w:rsidR="00462A99" w:rsidRPr="00296769" w:rsidRDefault="0031664A" w:rsidP="0031664A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296769">
        <w:rPr>
          <w:lang w:val="cs-CZ"/>
        </w:rPr>
        <w:t xml:space="preserve">Sumární vzorec </w:t>
      </w:r>
      <w:proofErr w:type="spellStart"/>
      <w:r w:rsidRPr="00296769">
        <w:rPr>
          <w:lang w:val="cs-CZ"/>
        </w:rPr>
        <w:t>tripalmitinu</w:t>
      </w:r>
      <w:proofErr w:type="spellEnd"/>
      <w:r w:rsidRPr="00296769">
        <w:rPr>
          <w:lang w:val="cs-CZ"/>
        </w:rPr>
        <w:t xml:space="preserve"> je C</w:t>
      </w:r>
      <w:r w:rsidRPr="00296769">
        <w:rPr>
          <w:vertAlign w:val="subscript"/>
          <w:lang w:val="cs-CZ"/>
        </w:rPr>
        <w:t>51</w:t>
      </w:r>
      <w:r w:rsidRPr="00296769">
        <w:rPr>
          <w:lang w:val="cs-CZ"/>
        </w:rPr>
        <w:t>H</w:t>
      </w:r>
      <w:r w:rsidRPr="00296769">
        <w:rPr>
          <w:vertAlign w:val="subscript"/>
          <w:lang w:val="cs-CZ"/>
        </w:rPr>
        <w:t>98</w:t>
      </w:r>
      <w:r w:rsidRPr="00296769">
        <w:rPr>
          <w:lang w:val="cs-CZ"/>
        </w:rPr>
        <w:t>O</w:t>
      </w:r>
      <w:r w:rsidRPr="00296769">
        <w:rPr>
          <w:vertAlign w:val="subscript"/>
          <w:lang w:val="cs-CZ"/>
        </w:rPr>
        <w:t>6</w:t>
      </w:r>
      <w:r w:rsidRPr="00296769">
        <w:rPr>
          <w:lang w:val="cs-CZ"/>
        </w:rPr>
        <w:t xml:space="preserve">. Níže je molekula </w:t>
      </w:r>
      <w:proofErr w:type="spellStart"/>
      <w:r w:rsidRPr="00296769">
        <w:rPr>
          <w:lang w:val="cs-CZ"/>
        </w:rPr>
        <w:t>tripalmitinu</w:t>
      </w:r>
      <w:proofErr w:type="spellEnd"/>
      <w:r w:rsidRPr="00296769">
        <w:rPr>
          <w:lang w:val="cs-CZ"/>
        </w:rPr>
        <w:t xml:space="preserve"> částečně rozepsána (červeně je označen glycerol, na který se vá</w:t>
      </w:r>
      <w:r w:rsidR="00296769">
        <w:rPr>
          <w:lang w:val="cs-CZ"/>
        </w:rPr>
        <w:t>žou</w:t>
      </w:r>
      <w:r w:rsidRPr="00296769">
        <w:rPr>
          <w:lang w:val="cs-CZ"/>
        </w:rPr>
        <w:t xml:space="preserve"> tři zbytky kyseliny palmitové).</w:t>
      </w:r>
    </w:p>
    <w:p w14:paraId="48D05D76" w14:textId="6CEBF7E5" w:rsidR="0031664A" w:rsidRPr="00296769" w:rsidRDefault="0031664A" w:rsidP="0031664A">
      <w:pPr>
        <w:spacing w:line="360" w:lineRule="auto"/>
        <w:rPr>
          <w:lang w:val="cs-CZ"/>
        </w:rPr>
      </w:pPr>
      <w:r w:rsidRPr="00296769">
        <w:rPr>
          <w:noProof/>
          <w:lang w:val="cs-CZ"/>
        </w:rPr>
        <w:drawing>
          <wp:inline distT="0" distB="0" distL="0" distR="0" wp14:anchorId="33920820" wp14:editId="044E77BD">
            <wp:extent cx="264795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616CB" w14:textId="331D24F8" w:rsidR="0031664A" w:rsidRPr="00296769" w:rsidRDefault="00462A99" w:rsidP="0031664A">
      <w:pPr>
        <w:pStyle w:val="Odstavecseseznamem"/>
        <w:numPr>
          <w:ilvl w:val="0"/>
          <w:numId w:val="5"/>
        </w:numPr>
        <w:spacing w:line="360" w:lineRule="auto"/>
        <w:rPr>
          <w:b/>
          <w:u w:val="single"/>
          <w:lang w:val="cs-CZ"/>
        </w:rPr>
      </w:pPr>
      <w:r w:rsidRPr="00296769">
        <w:rPr>
          <w:lang w:val="cs-CZ"/>
        </w:rPr>
        <w:t>C</w:t>
      </w:r>
      <w:r w:rsidRPr="00296769">
        <w:rPr>
          <w:vertAlign w:val="subscript"/>
          <w:lang w:val="cs-CZ"/>
        </w:rPr>
        <w:t>6</w:t>
      </w:r>
      <w:r w:rsidRPr="00296769">
        <w:rPr>
          <w:lang w:val="cs-CZ"/>
        </w:rPr>
        <w:t>H</w:t>
      </w:r>
      <w:r w:rsidRPr="00296769">
        <w:rPr>
          <w:vertAlign w:val="subscript"/>
          <w:lang w:val="cs-CZ"/>
        </w:rPr>
        <w:t>12</w:t>
      </w:r>
      <w:r w:rsidRPr="00296769">
        <w:rPr>
          <w:lang w:val="cs-CZ"/>
        </w:rPr>
        <w:t>O</w:t>
      </w:r>
      <w:r w:rsidRPr="00296769">
        <w:rPr>
          <w:vertAlign w:val="subscript"/>
          <w:lang w:val="cs-CZ"/>
        </w:rPr>
        <w:t>6</w:t>
      </w:r>
      <w:r w:rsidRPr="00296769">
        <w:rPr>
          <w:lang w:val="cs-CZ"/>
        </w:rPr>
        <w:t xml:space="preserve"> + </w:t>
      </w:r>
      <w:r w:rsidRPr="00296769">
        <w:rPr>
          <w:b/>
          <w:lang w:val="cs-CZ"/>
        </w:rPr>
        <w:t xml:space="preserve">6 </w:t>
      </w:r>
      <w:r w:rsidRPr="00296769">
        <w:rPr>
          <w:lang w:val="cs-CZ"/>
        </w:rPr>
        <w:t>O</w:t>
      </w:r>
      <w:r w:rsidRPr="00296769">
        <w:rPr>
          <w:vertAlign w:val="subscript"/>
          <w:lang w:val="cs-CZ"/>
        </w:rPr>
        <w:t>2</w:t>
      </w:r>
      <w:r w:rsidRPr="00296769">
        <w:rPr>
          <w:lang w:val="cs-CZ"/>
        </w:rPr>
        <w:t xml:space="preserve"> –&gt; </w:t>
      </w:r>
      <w:r w:rsidRPr="00296769">
        <w:rPr>
          <w:b/>
          <w:lang w:val="cs-CZ"/>
        </w:rPr>
        <w:t xml:space="preserve">6 </w:t>
      </w:r>
      <w:r w:rsidRPr="00296769">
        <w:rPr>
          <w:lang w:val="cs-CZ"/>
        </w:rPr>
        <w:t>CO</w:t>
      </w:r>
      <w:r w:rsidRPr="00296769">
        <w:rPr>
          <w:vertAlign w:val="subscript"/>
          <w:lang w:val="cs-CZ"/>
        </w:rPr>
        <w:t>2</w:t>
      </w:r>
      <w:r w:rsidRPr="00296769">
        <w:rPr>
          <w:lang w:val="cs-CZ"/>
        </w:rPr>
        <w:t xml:space="preserve"> + </w:t>
      </w:r>
      <w:r w:rsidRPr="00296769">
        <w:rPr>
          <w:b/>
          <w:lang w:val="cs-CZ"/>
        </w:rPr>
        <w:t xml:space="preserve">6 </w:t>
      </w:r>
      <w:r w:rsidRPr="00296769">
        <w:rPr>
          <w:lang w:val="cs-CZ"/>
        </w:rPr>
        <w:t>H</w:t>
      </w:r>
      <w:r w:rsidRPr="00296769">
        <w:rPr>
          <w:vertAlign w:val="subscript"/>
          <w:lang w:val="cs-CZ"/>
        </w:rPr>
        <w:t>2</w:t>
      </w:r>
      <w:r w:rsidRPr="00296769">
        <w:rPr>
          <w:lang w:val="cs-CZ"/>
        </w:rPr>
        <w:t xml:space="preserve">O; </w:t>
      </w:r>
      <w:proofErr w:type="spellStart"/>
      <w:r w:rsidRPr="00296769">
        <w:rPr>
          <w:lang w:val="cs-CZ"/>
        </w:rPr>
        <w:t>RQ</w:t>
      </w:r>
      <w:proofErr w:type="spellEnd"/>
      <w:r w:rsidRPr="00296769">
        <w:rPr>
          <w:lang w:val="cs-CZ"/>
        </w:rPr>
        <w:t xml:space="preserve"> = CO</w:t>
      </w:r>
      <w:r w:rsidRPr="00296769">
        <w:rPr>
          <w:vertAlign w:val="subscript"/>
          <w:lang w:val="cs-CZ"/>
        </w:rPr>
        <w:t>2</w:t>
      </w:r>
      <w:r w:rsidRPr="00296769">
        <w:rPr>
          <w:lang w:val="cs-CZ"/>
        </w:rPr>
        <w:t xml:space="preserve"> / O</w:t>
      </w:r>
      <w:r w:rsidRPr="00296769">
        <w:rPr>
          <w:vertAlign w:val="subscript"/>
          <w:lang w:val="cs-CZ"/>
        </w:rPr>
        <w:t>2</w:t>
      </w:r>
      <w:r w:rsidRPr="00296769">
        <w:rPr>
          <w:lang w:val="cs-CZ"/>
        </w:rPr>
        <w:t xml:space="preserve"> = 6/6 = </w:t>
      </w:r>
      <w:r w:rsidRPr="00296769">
        <w:rPr>
          <w:b/>
          <w:u w:val="single"/>
          <w:lang w:val="cs-CZ"/>
        </w:rPr>
        <w:t>1</w:t>
      </w:r>
      <w:r w:rsidR="00CC4189" w:rsidRPr="00296769">
        <w:rPr>
          <w:b/>
          <w:u w:val="single"/>
          <w:lang w:val="cs-CZ"/>
        </w:rPr>
        <w:t xml:space="preserve"> </w:t>
      </w:r>
      <w:r w:rsidR="00CC4189" w:rsidRPr="00296769">
        <w:rPr>
          <w:u w:val="single"/>
          <w:lang w:val="cs-CZ"/>
        </w:rPr>
        <w:t xml:space="preserve">   </w:t>
      </w:r>
    </w:p>
    <w:p w14:paraId="6C0BD834" w14:textId="77777777" w:rsidR="00CC4189" w:rsidRPr="00296769" w:rsidRDefault="0031664A" w:rsidP="0031664A">
      <w:pPr>
        <w:pStyle w:val="Odstavecseseznamem"/>
        <w:spacing w:line="360" w:lineRule="auto"/>
        <w:rPr>
          <w:lang w:val="cs-CZ"/>
        </w:rPr>
      </w:pPr>
      <w:r w:rsidRPr="00296769">
        <w:rPr>
          <w:b/>
          <w:lang w:val="cs-CZ"/>
        </w:rPr>
        <w:t>2</w:t>
      </w:r>
      <w:r w:rsidRPr="00296769">
        <w:rPr>
          <w:lang w:val="cs-CZ"/>
        </w:rPr>
        <w:t xml:space="preserve"> C</w:t>
      </w:r>
      <w:r w:rsidRPr="00296769">
        <w:rPr>
          <w:vertAlign w:val="subscript"/>
          <w:lang w:val="cs-CZ"/>
        </w:rPr>
        <w:t>51</w:t>
      </w:r>
      <w:r w:rsidRPr="00296769">
        <w:rPr>
          <w:lang w:val="cs-CZ"/>
        </w:rPr>
        <w:t>H</w:t>
      </w:r>
      <w:r w:rsidRPr="00296769">
        <w:rPr>
          <w:vertAlign w:val="subscript"/>
          <w:lang w:val="cs-CZ"/>
        </w:rPr>
        <w:t>98</w:t>
      </w:r>
      <w:r w:rsidRPr="00296769">
        <w:rPr>
          <w:lang w:val="cs-CZ"/>
        </w:rPr>
        <w:t>O</w:t>
      </w:r>
      <w:r w:rsidRPr="00296769">
        <w:rPr>
          <w:vertAlign w:val="subscript"/>
          <w:lang w:val="cs-CZ"/>
        </w:rPr>
        <w:t>6</w:t>
      </w:r>
      <w:r w:rsidRPr="00296769">
        <w:rPr>
          <w:lang w:val="cs-CZ"/>
        </w:rPr>
        <w:t xml:space="preserve"> (</w:t>
      </w:r>
      <w:proofErr w:type="spellStart"/>
      <w:r w:rsidRPr="00296769">
        <w:rPr>
          <w:lang w:val="cs-CZ"/>
        </w:rPr>
        <w:t>tripalmitin</w:t>
      </w:r>
      <w:proofErr w:type="spellEnd"/>
      <w:r w:rsidRPr="00296769">
        <w:rPr>
          <w:lang w:val="cs-CZ"/>
        </w:rPr>
        <w:t xml:space="preserve">) + </w:t>
      </w:r>
      <w:r w:rsidRPr="00296769">
        <w:rPr>
          <w:b/>
          <w:lang w:val="cs-CZ"/>
        </w:rPr>
        <w:t>145</w:t>
      </w:r>
      <w:r w:rsidRPr="00296769">
        <w:rPr>
          <w:lang w:val="cs-CZ"/>
        </w:rPr>
        <w:t xml:space="preserve"> O</w:t>
      </w:r>
      <w:r w:rsidRPr="00296769">
        <w:rPr>
          <w:vertAlign w:val="subscript"/>
          <w:lang w:val="cs-CZ"/>
        </w:rPr>
        <w:t>2</w:t>
      </w:r>
      <w:r w:rsidRPr="00296769">
        <w:rPr>
          <w:lang w:val="cs-CZ"/>
        </w:rPr>
        <w:t xml:space="preserve"> –&gt; </w:t>
      </w:r>
      <w:r w:rsidRPr="00296769">
        <w:rPr>
          <w:b/>
          <w:lang w:val="cs-CZ"/>
        </w:rPr>
        <w:t>102</w:t>
      </w:r>
      <w:r w:rsidRPr="00296769">
        <w:rPr>
          <w:lang w:val="cs-CZ"/>
        </w:rPr>
        <w:t xml:space="preserve"> CO</w:t>
      </w:r>
      <w:r w:rsidRPr="00296769">
        <w:rPr>
          <w:vertAlign w:val="subscript"/>
          <w:lang w:val="cs-CZ"/>
        </w:rPr>
        <w:t>2</w:t>
      </w:r>
      <w:r w:rsidRPr="00296769">
        <w:rPr>
          <w:lang w:val="cs-CZ"/>
        </w:rPr>
        <w:t xml:space="preserve"> + </w:t>
      </w:r>
      <w:r w:rsidRPr="00296769">
        <w:rPr>
          <w:b/>
          <w:lang w:val="cs-CZ"/>
        </w:rPr>
        <w:t>98</w:t>
      </w:r>
      <w:r w:rsidRPr="00296769">
        <w:rPr>
          <w:lang w:val="cs-CZ"/>
        </w:rPr>
        <w:t xml:space="preserve"> H</w:t>
      </w:r>
      <w:r w:rsidRPr="00296769">
        <w:rPr>
          <w:vertAlign w:val="subscript"/>
          <w:lang w:val="cs-CZ"/>
        </w:rPr>
        <w:t>2</w:t>
      </w:r>
      <w:r w:rsidR="00CC4189" w:rsidRPr="00296769">
        <w:rPr>
          <w:lang w:val="cs-CZ"/>
        </w:rPr>
        <w:t>O</w:t>
      </w:r>
    </w:p>
    <w:p w14:paraId="0B7CB7FA" w14:textId="1D723AEE" w:rsidR="0031664A" w:rsidRPr="00296769" w:rsidRDefault="0031664A" w:rsidP="0031664A">
      <w:pPr>
        <w:pStyle w:val="Odstavecseseznamem"/>
        <w:spacing w:line="360" w:lineRule="auto"/>
        <w:rPr>
          <w:b/>
          <w:u w:val="single"/>
          <w:lang w:val="cs-CZ"/>
        </w:rPr>
      </w:pPr>
      <w:proofErr w:type="spellStart"/>
      <w:r w:rsidRPr="00296769">
        <w:rPr>
          <w:lang w:val="cs-CZ"/>
        </w:rPr>
        <w:t>RQ</w:t>
      </w:r>
      <w:proofErr w:type="spellEnd"/>
      <w:r w:rsidRPr="00296769">
        <w:rPr>
          <w:lang w:val="cs-CZ"/>
        </w:rPr>
        <w:t xml:space="preserve"> = 102/145 </w:t>
      </w:r>
      <w:r w:rsidRPr="00296769">
        <w:rPr>
          <w:rFonts w:cstheme="minorHAnsi"/>
          <w:lang w:val="cs-CZ"/>
        </w:rPr>
        <w:t>≈</w:t>
      </w:r>
      <w:r w:rsidRPr="00296769">
        <w:rPr>
          <w:lang w:val="cs-CZ"/>
        </w:rPr>
        <w:t xml:space="preserve"> </w:t>
      </w:r>
      <w:r w:rsidRPr="00296769">
        <w:rPr>
          <w:b/>
          <w:u w:val="single"/>
          <w:lang w:val="cs-CZ"/>
        </w:rPr>
        <w:t>0.703</w:t>
      </w:r>
    </w:p>
    <w:p w14:paraId="00200A13" w14:textId="5785CA73" w:rsidR="00CC4189" w:rsidRPr="00296769" w:rsidRDefault="00CC4189" w:rsidP="00CC4189">
      <w:pPr>
        <w:pStyle w:val="Odstavecseseznamem"/>
        <w:spacing w:line="360" w:lineRule="auto"/>
        <w:rPr>
          <w:lang w:val="cs-CZ"/>
        </w:rPr>
      </w:pPr>
      <w:r w:rsidRPr="00296769">
        <w:rPr>
          <w:lang w:val="cs-CZ"/>
        </w:rPr>
        <w:lastRenderedPageBreak/>
        <w:t xml:space="preserve">Poznámka: Kyselina palmitová je jednou z nejkratších mastných kyselin hromaděných v tukové tkáni. Studenti mohou zkusit podobné rovnice sestavit např. pro </w:t>
      </w:r>
      <w:proofErr w:type="spellStart"/>
      <w:r w:rsidRPr="00296769">
        <w:rPr>
          <w:lang w:val="cs-CZ"/>
        </w:rPr>
        <w:t>tristrarin</w:t>
      </w:r>
      <w:proofErr w:type="spellEnd"/>
      <w:r w:rsidRPr="00296769">
        <w:rPr>
          <w:lang w:val="cs-CZ"/>
        </w:rPr>
        <w:t xml:space="preserve"> se třemi kyselinami stearovými (18 uhlíků). </w:t>
      </w:r>
      <w:proofErr w:type="spellStart"/>
      <w:r w:rsidRPr="00296769">
        <w:rPr>
          <w:lang w:val="cs-CZ"/>
        </w:rPr>
        <w:t>RQ</w:t>
      </w:r>
      <w:proofErr w:type="spellEnd"/>
      <w:r w:rsidRPr="00296769">
        <w:rPr>
          <w:lang w:val="cs-CZ"/>
        </w:rPr>
        <w:t xml:space="preserve"> pak bude ještě nižší.</w:t>
      </w:r>
    </w:p>
    <w:p w14:paraId="42B470CC" w14:textId="77777777" w:rsidR="00CC4189" w:rsidRPr="00296769" w:rsidRDefault="00CC4189" w:rsidP="00CC4189">
      <w:pPr>
        <w:pStyle w:val="Odstavecseseznamem"/>
        <w:spacing w:line="360" w:lineRule="auto"/>
        <w:rPr>
          <w:lang w:val="cs-CZ"/>
        </w:rPr>
      </w:pPr>
    </w:p>
    <w:p w14:paraId="682F356B" w14:textId="0FCAFFEA" w:rsidR="00CC4189" w:rsidRPr="00296769" w:rsidRDefault="00CC4189" w:rsidP="00CC418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296769">
        <w:rPr>
          <w:lang w:val="cs-CZ"/>
        </w:rPr>
        <w:t xml:space="preserve">V průběhu dne zvíře není aktivní, nepřijímá potravu a spaluje ve větší míře zásobní lipidy z tukové tkáně. Během noci jsou naopak přednostně zpracovávány sacharidy z právě přijímané potravy a </w:t>
      </w:r>
      <w:proofErr w:type="spellStart"/>
      <w:r w:rsidRPr="00296769">
        <w:rPr>
          <w:lang w:val="cs-CZ"/>
        </w:rPr>
        <w:t>RQ</w:t>
      </w:r>
      <w:proofErr w:type="spellEnd"/>
      <w:r w:rsidRPr="00296769">
        <w:rPr>
          <w:lang w:val="cs-CZ"/>
        </w:rPr>
        <w:t xml:space="preserve"> se proto pohybuje kolem hodnoty 1. Při odstavení od potravy se zejména u malých laboratorních hlodavců rychle vyčerpají zásoby sacharidů v organismu (u člověka by tento proces byl pomalejší</w:t>
      </w:r>
      <w:r w:rsidR="00296769">
        <w:rPr>
          <w:lang w:val="cs-CZ"/>
        </w:rPr>
        <w:t>,</w:t>
      </w:r>
      <w:r w:rsidRPr="00296769">
        <w:rPr>
          <w:lang w:val="cs-CZ"/>
        </w:rPr>
        <w:t xml:space="preserve"> než je ukázáno v grafu) a ten plně přechází na oxidaci lipidů. </w:t>
      </w:r>
      <w:proofErr w:type="spellStart"/>
      <w:r w:rsidRPr="00296769">
        <w:rPr>
          <w:lang w:val="cs-CZ"/>
        </w:rPr>
        <w:t>RQ</w:t>
      </w:r>
      <w:proofErr w:type="spellEnd"/>
      <w:r w:rsidRPr="00296769">
        <w:rPr>
          <w:lang w:val="cs-CZ"/>
        </w:rPr>
        <w:t xml:space="preserve"> se proto propadá pod 0,8 a blíží se k předpovězené hodnotě 0,7.</w:t>
      </w:r>
    </w:p>
    <w:p w14:paraId="2B84AEF9" w14:textId="642EA7E5" w:rsidR="006C227C" w:rsidRPr="00296769" w:rsidRDefault="006C227C" w:rsidP="00C64CA0">
      <w:pPr>
        <w:spacing w:line="360" w:lineRule="auto"/>
        <w:rPr>
          <w:lang w:val="cs-CZ"/>
        </w:rPr>
      </w:pPr>
    </w:p>
    <w:sectPr w:rsidR="006C227C" w:rsidRPr="002967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0364C" w14:textId="77777777" w:rsidR="009B1ADE" w:rsidRDefault="009B1ADE" w:rsidP="009B1ADE">
      <w:pPr>
        <w:spacing w:after="0" w:line="240" w:lineRule="auto"/>
      </w:pPr>
      <w:r>
        <w:separator/>
      </w:r>
    </w:p>
  </w:endnote>
  <w:endnote w:type="continuationSeparator" w:id="0">
    <w:p w14:paraId="41184F1D" w14:textId="77777777" w:rsidR="009B1ADE" w:rsidRDefault="009B1ADE" w:rsidP="009B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3161986"/>
      <w:docPartObj>
        <w:docPartGallery w:val="Page Numbers (Bottom of Page)"/>
        <w:docPartUnique/>
      </w:docPartObj>
    </w:sdtPr>
    <w:sdtContent>
      <w:p w14:paraId="2F95A9D7" w14:textId="1A23CD32" w:rsidR="009B1ADE" w:rsidRDefault="009B1A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BD02AA9" w14:textId="77777777" w:rsidR="009B1ADE" w:rsidRDefault="009B1A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30BBF" w14:textId="77777777" w:rsidR="009B1ADE" w:rsidRDefault="009B1ADE" w:rsidP="009B1ADE">
      <w:pPr>
        <w:spacing w:after="0" w:line="240" w:lineRule="auto"/>
      </w:pPr>
      <w:r>
        <w:separator/>
      </w:r>
    </w:p>
  </w:footnote>
  <w:footnote w:type="continuationSeparator" w:id="0">
    <w:p w14:paraId="780D086B" w14:textId="77777777" w:rsidR="009B1ADE" w:rsidRDefault="009B1ADE" w:rsidP="009B1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0FBF"/>
    <w:multiLevelType w:val="hybridMultilevel"/>
    <w:tmpl w:val="66CAED3C"/>
    <w:lvl w:ilvl="0" w:tplc="4BEAA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E104E"/>
    <w:multiLevelType w:val="hybridMultilevel"/>
    <w:tmpl w:val="318EA49E"/>
    <w:lvl w:ilvl="0" w:tplc="6240A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E51FB"/>
    <w:multiLevelType w:val="hybridMultilevel"/>
    <w:tmpl w:val="C03AED0A"/>
    <w:lvl w:ilvl="0" w:tplc="9EEC4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E0B16"/>
    <w:multiLevelType w:val="hybridMultilevel"/>
    <w:tmpl w:val="9C0E58AA"/>
    <w:lvl w:ilvl="0" w:tplc="AADC6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D0F43"/>
    <w:multiLevelType w:val="hybridMultilevel"/>
    <w:tmpl w:val="D5C22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E6C2A"/>
    <w:multiLevelType w:val="hybridMultilevel"/>
    <w:tmpl w:val="EE4C91C0"/>
    <w:lvl w:ilvl="0" w:tplc="BFF49E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A0"/>
    <w:rsid w:val="0005699D"/>
    <w:rsid w:val="00063BAD"/>
    <w:rsid w:val="000679A9"/>
    <w:rsid w:val="00070726"/>
    <w:rsid w:val="000B3AD7"/>
    <w:rsid w:val="000D0A78"/>
    <w:rsid w:val="000D2721"/>
    <w:rsid w:val="000D42FE"/>
    <w:rsid w:val="0011571D"/>
    <w:rsid w:val="001243CD"/>
    <w:rsid w:val="001335C6"/>
    <w:rsid w:val="00142705"/>
    <w:rsid w:val="00165B71"/>
    <w:rsid w:val="001A2421"/>
    <w:rsid w:val="001C1717"/>
    <w:rsid w:val="001C4C29"/>
    <w:rsid w:val="001D1592"/>
    <w:rsid w:val="001D606C"/>
    <w:rsid w:val="001F151D"/>
    <w:rsid w:val="00227715"/>
    <w:rsid w:val="00260AC8"/>
    <w:rsid w:val="0027384C"/>
    <w:rsid w:val="002800AB"/>
    <w:rsid w:val="00296769"/>
    <w:rsid w:val="002C68D6"/>
    <w:rsid w:val="002E38C5"/>
    <w:rsid w:val="002E540F"/>
    <w:rsid w:val="002F0DB0"/>
    <w:rsid w:val="002F3264"/>
    <w:rsid w:val="003111DB"/>
    <w:rsid w:val="0031664A"/>
    <w:rsid w:val="003333D4"/>
    <w:rsid w:val="00350DDC"/>
    <w:rsid w:val="00386294"/>
    <w:rsid w:val="003F6FD0"/>
    <w:rsid w:val="00401EF5"/>
    <w:rsid w:val="00420C36"/>
    <w:rsid w:val="00436BDB"/>
    <w:rsid w:val="00447EC1"/>
    <w:rsid w:val="00462A99"/>
    <w:rsid w:val="004662A0"/>
    <w:rsid w:val="00490E85"/>
    <w:rsid w:val="004A4DB2"/>
    <w:rsid w:val="004B3CDD"/>
    <w:rsid w:val="004B726E"/>
    <w:rsid w:val="004E1FC8"/>
    <w:rsid w:val="004E4C02"/>
    <w:rsid w:val="005138D6"/>
    <w:rsid w:val="00541432"/>
    <w:rsid w:val="00544C04"/>
    <w:rsid w:val="005B3A2F"/>
    <w:rsid w:val="005C7B4A"/>
    <w:rsid w:val="005D0F53"/>
    <w:rsid w:val="005F07DD"/>
    <w:rsid w:val="006121E1"/>
    <w:rsid w:val="0063312F"/>
    <w:rsid w:val="00672903"/>
    <w:rsid w:val="0067292C"/>
    <w:rsid w:val="006B58B2"/>
    <w:rsid w:val="006C227C"/>
    <w:rsid w:val="006D3C87"/>
    <w:rsid w:val="00703A37"/>
    <w:rsid w:val="00776819"/>
    <w:rsid w:val="00776C4E"/>
    <w:rsid w:val="00784536"/>
    <w:rsid w:val="00787975"/>
    <w:rsid w:val="007E42E5"/>
    <w:rsid w:val="007E498A"/>
    <w:rsid w:val="007F1D37"/>
    <w:rsid w:val="007F56C8"/>
    <w:rsid w:val="008203F0"/>
    <w:rsid w:val="00847880"/>
    <w:rsid w:val="00893475"/>
    <w:rsid w:val="008C4098"/>
    <w:rsid w:val="008D14FA"/>
    <w:rsid w:val="008F4F85"/>
    <w:rsid w:val="00904CEA"/>
    <w:rsid w:val="00923737"/>
    <w:rsid w:val="0094643A"/>
    <w:rsid w:val="00947A95"/>
    <w:rsid w:val="009A0FD8"/>
    <w:rsid w:val="009B1ADE"/>
    <w:rsid w:val="009C7CB6"/>
    <w:rsid w:val="009E3F90"/>
    <w:rsid w:val="00A50187"/>
    <w:rsid w:val="00A60165"/>
    <w:rsid w:val="00AA7DE9"/>
    <w:rsid w:val="00AC7CB5"/>
    <w:rsid w:val="00AD4418"/>
    <w:rsid w:val="00AF0D40"/>
    <w:rsid w:val="00B20902"/>
    <w:rsid w:val="00B22ADB"/>
    <w:rsid w:val="00B23F66"/>
    <w:rsid w:val="00B370A0"/>
    <w:rsid w:val="00B37121"/>
    <w:rsid w:val="00B56EFB"/>
    <w:rsid w:val="00B61E41"/>
    <w:rsid w:val="00BB2F6C"/>
    <w:rsid w:val="00BF4CA4"/>
    <w:rsid w:val="00C32D26"/>
    <w:rsid w:val="00C43E11"/>
    <w:rsid w:val="00C64CA0"/>
    <w:rsid w:val="00C65066"/>
    <w:rsid w:val="00CC4189"/>
    <w:rsid w:val="00D0308F"/>
    <w:rsid w:val="00D04F3F"/>
    <w:rsid w:val="00D6168F"/>
    <w:rsid w:val="00D65353"/>
    <w:rsid w:val="00D73C7D"/>
    <w:rsid w:val="00D8676B"/>
    <w:rsid w:val="00D90DB2"/>
    <w:rsid w:val="00DB5D76"/>
    <w:rsid w:val="00DC69CC"/>
    <w:rsid w:val="00DD015B"/>
    <w:rsid w:val="00DD0330"/>
    <w:rsid w:val="00DD07D2"/>
    <w:rsid w:val="00DE0E49"/>
    <w:rsid w:val="00DF2778"/>
    <w:rsid w:val="00DF4B16"/>
    <w:rsid w:val="00E14DA8"/>
    <w:rsid w:val="00E46801"/>
    <w:rsid w:val="00E666F2"/>
    <w:rsid w:val="00E709E6"/>
    <w:rsid w:val="00EC5546"/>
    <w:rsid w:val="00EE6A38"/>
    <w:rsid w:val="00F023A8"/>
    <w:rsid w:val="00F0672B"/>
    <w:rsid w:val="00F617CF"/>
    <w:rsid w:val="00FB3BDF"/>
    <w:rsid w:val="00FC2EAB"/>
    <w:rsid w:val="00FD3792"/>
    <w:rsid w:val="00FD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87A2"/>
  <w15:docId w15:val="{5E2BB7E9-781A-47E8-A344-1045D1D4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09E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C68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68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68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8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8D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8D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6168F"/>
    <w:rPr>
      <w:color w:val="0000FF"/>
      <w:u w:val="single"/>
    </w:rPr>
  </w:style>
  <w:style w:type="character" w:customStyle="1" w:styleId="u-visually-hidden">
    <w:name w:val="u-visually-hidden"/>
    <w:basedOn w:val="Standardnpsmoodstavce"/>
    <w:rsid w:val="00D6168F"/>
  </w:style>
  <w:style w:type="paragraph" w:styleId="Zhlav">
    <w:name w:val="header"/>
    <w:basedOn w:val="Normln"/>
    <w:link w:val="ZhlavChar"/>
    <w:uiPriority w:val="99"/>
    <w:unhideWhenUsed/>
    <w:rsid w:val="009B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ADE"/>
  </w:style>
  <w:style w:type="paragraph" w:styleId="Zpat">
    <w:name w:val="footer"/>
    <w:basedOn w:val="Normln"/>
    <w:link w:val="ZpatChar"/>
    <w:uiPriority w:val="99"/>
    <w:unhideWhenUsed/>
    <w:rsid w:val="009B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Zouhar Petr</dc:creator>
  <cp:lastModifiedBy>ziva</cp:lastModifiedBy>
  <cp:revision>3</cp:revision>
  <dcterms:created xsi:type="dcterms:W3CDTF">2020-08-11T09:41:00Z</dcterms:created>
  <dcterms:modified xsi:type="dcterms:W3CDTF">2020-08-11T09:54:00Z</dcterms:modified>
</cp:coreProperties>
</file>